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Статья 2. Сфера применения контрольно-кассовой техники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1. Контрольно-кассовая техника, включенная в </w:t>
      </w:r>
      <w:hyperlink r:id="rId4" w:history="1">
        <w:r w:rsidRPr="008C6628">
          <w:rPr>
            <w:rFonts w:ascii="Calibri" w:hAnsi="Calibri" w:cs="Calibri"/>
          </w:rPr>
          <w:t>Государственный реестр</w:t>
        </w:r>
      </w:hyperlink>
      <w:r w:rsidRPr="008C6628">
        <w:rPr>
          <w:rFonts w:ascii="Calibri" w:hAnsi="Calibri" w:cs="Calibri"/>
        </w:rP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</w:t>
      </w:r>
      <w:proofErr w:type="gramStart"/>
      <w:r w:rsidRPr="008C6628">
        <w:rPr>
          <w:rFonts w:ascii="Calibri" w:hAnsi="Calibri" w:cs="Calibri"/>
        </w:rPr>
        <w:t>рт в сл</w:t>
      </w:r>
      <w:proofErr w:type="gramEnd"/>
      <w:r w:rsidRPr="008C6628">
        <w:rPr>
          <w:rFonts w:ascii="Calibri" w:hAnsi="Calibri" w:cs="Calibri"/>
        </w:rPr>
        <w:t>учаях продажи товаров, выполнения работ или оказания услуг.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hyperlink r:id="rId5" w:history="1">
        <w:r w:rsidRPr="008C6628">
          <w:rPr>
            <w:rFonts w:ascii="Calibri" w:hAnsi="Calibri" w:cs="Calibri"/>
          </w:rPr>
          <w:t>Порядок</w:t>
        </w:r>
      </w:hyperlink>
      <w:r w:rsidRPr="008C6628">
        <w:rPr>
          <w:rFonts w:ascii="Calibri" w:hAnsi="Calibri" w:cs="Calibri"/>
        </w:rPr>
        <w:t xml:space="preserve"> совершения кредитными организациями кассовых операций с применением контрольно-кассовой техники определяется Центральным банком Российской Федерации.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2. Организации и индивидуальные предприниматели в соответствии с </w:t>
      </w:r>
      <w:hyperlink r:id="rId6" w:history="1">
        <w:r w:rsidRPr="008C6628">
          <w:rPr>
            <w:rFonts w:ascii="Calibri" w:hAnsi="Calibri" w:cs="Calibri"/>
          </w:rPr>
          <w:t>порядком,</w:t>
        </w:r>
      </w:hyperlink>
      <w:r w:rsidRPr="008C6628">
        <w:rPr>
          <w:rFonts w:ascii="Calibri" w:hAnsi="Calibri" w:cs="Calibri"/>
        </w:rP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hyperlink r:id="rId7" w:history="1">
        <w:r w:rsidRPr="008C6628">
          <w:rPr>
            <w:rFonts w:ascii="Calibri" w:hAnsi="Calibri" w:cs="Calibri"/>
          </w:rPr>
          <w:t>Порядок</w:t>
        </w:r>
      </w:hyperlink>
      <w:r w:rsidRPr="008C6628">
        <w:rPr>
          <w:rFonts w:ascii="Calibri" w:hAnsi="Calibri" w:cs="Calibri"/>
        </w:rPr>
        <w:t xml:space="preserve"> утверждения формы бланков строгой отчетности, приравненных к кассовым чекам, а также </w:t>
      </w:r>
      <w:hyperlink r:id="rId8" w:history="1">
        <w:r w:rsidRPr="008C6628">
          <w:rPr>
            <w:rFonts w:ascii="Calibri" w:hAnsi="Calibri" w:cs="Calibri"/>
          </w:rPr>
          <w:t>порядок</w:t>
        </w:r>
      </w:hyperlink>
      <w:r w:rsidRPr="008C6628">
        <w:rPr>
          <w:rFonts w:ascii="Calibri" w:hAnsi="Calibri" w:cs="Calibri"/>
        </w:rPr>
        <w:t xml:space="preserve"> их учета, хранения и уничтожения устанавливается Правительством Российской Федерации.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2.1. </w:t>
      </w:r>
      <w:proofErr w:type="gramStart"/>
      <w:r w:rsidRPr="008C6628">
        <w:rPr>
          <w:rFonts w:ascii="Calibri" w:hAnsi="Calibri" w:cs="Calibri"/>
        </w:rP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не подпадающие под действие </w:t>
      </w:r>
      <w:hyperlink r:id="rId9" w:history="1">
        <w:r w:rsidRPr="008C6628">
          <w:rPr>
            <w:rFonts w:ascii="Calibri" w:hAnsi="Calibri" w:cs="Calibri"/>
          </w:rPr>
          <w:t>пунктов 2</w:t>
        </w:r>
      </w:hyperlink>
      <w:r w:rsidRPr="008C6628">
        <w:rPr>
          <w:rFonts w:ascii="Calibri" w:hAnsi="Calibri" w:cs="Calibri"/>
        </w:rPr>
        <w:t xml:space="preserve"> и </w:t>
      </w:r>
      <w:hyperlink r:id="rId10" w:history="1">
        <w:r w:rsidRPr="008C6628">
          <w:rPr>
            <w:rFonts w:ascii="Calibri" w:hAnsi="Calibri" w:cs="Calibri"/>
          </w:rPr>
          <w:t>3</w:t>
        </w:r>
      </w:hyperlink>
      <w:r w:rsidRPr="008C6628">
        <w:rPr>
          <w:rFonts w:ascii="Calibri" w:hAnsi="Calibri" w:cs="Calibri"/>
        </w:rPr>
        <w:t xml:space="preserve"> настоящей статьи, при осуществлении видов предпринимательской деятельности, установленных </w:t>
      </w:r>
      <w:hyperlink r:id="rId11" w:history="1">
        <w:r w:rsidRPr="008C6628">
          <w:rPr>
            <w:rFonts w:ascii="Calibri" w:hAnsi="Calibri" w:cs="Calibri"/>
          </w:rPr>
          <w:t>пунктом 2 статьи 346.26</w:t>
        </w:r>
      </w:hyperlink>
      <w:r w:rsidRPr="008C6628">
        <w:rPr>
          <w:rFonts w:ascii="Calibri" w:hAnsi="Calibri" w:cs="Calibri"/>
        </w:rPr>
        <w:t xml:space="preserve">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</w:t>
      </w:r>
      <w:proofErr w:type="gramEnd"/>
      <w:r w:rsidRPr="008C6628">
        <w:rPr>
          <w:rFonts w:ascii="Calibri" w:hAnsi="Calibri" w:cs="Calibri"/>
        </w:rPr>
        <w:t xml:space="preserve"> </w:t>
      </w:r>
      <w:proofErr w:type="gramStart"/>
      <w:r w:rsidRPr="008C6628">
        <w:rPr>
          <w:rFonts w:ascii="Calibri" w:hAnsi="Calibri" w:cs="Calibri"/>
        </w:rPr>
        <w:t>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 w:rsidRPr="008C6628">
        <w:rPr>
          <w:rFonts w:ascii="Calibri" w:hAnsi="Calibri" w:cs="Calibri"/>
        </w:rP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наименование документа;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порядковый номер документа, дату его выдачи;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наименование для организации (фамилия, имя, отчество - для индивидуального предпринимателя);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proofErr w:type="gramStart"/>
      <w:r w:rsidRPr="00DA1573">
        <w:rPr>
          <w:rFonts w:ascii="Calibri" w:hAnsi="Calibri" w:cs="Calibri"/>
          <w:sz w:val="24"/>
          <w:szCs w:val="24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наименование и количество оплачиваемых приобретенных товаров (выполненных работ, оказанных услуг);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8C6628" w:rsidRPr="00DA1573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DA1573">
        <w:rPr>
          <w:rFonts w:ascii="Calibri" w:hAnsi="Calibri" w:cs="Calibri"/>
          <w:sz w:val="24"/>
          <w:szCs w:val="24"/>
        </w:rPr>
        <w:t>должность, фамилию и инициалы лица, выдавшего документ, и его личную подпись.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ценных бумаг;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лотерейных билетов;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проездных билетов и талонов для проезда в городском общественном транспорте;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обеспечения питанием учащихся и работников общеобразовательных школ и приравненных к ним учебных заведений во время учебных занятий;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lastRenderedPageBreak/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 w:rsidRPr="008C6628">
        <w:rPr>
          <w:rFonts w:ascii="Calibri" w:hAnsi="Calibri" w:cs="Calibri"/>
        </w:rPr>
        <w:t>других</w:t>
      </w:r>
      <w:proofErr w:type="gramEnd"/>
      <w:r w:rsidRPr="008C6628">
        <w:rPr>
          <w:rFonts w:ascii="Calibri" w:hAnsi="Calibri" w:cs="Calibri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12" w:history="1">
        <w:r w:rsidRPr="008C6628">
          <w:rPr>
            <w:rFonts w:ascii="Calibri" w:hAnsi="Calibri" w:cs="Calibri"/>
          </w:rPr>
          <w:t>технически сложных товаров</w:t>
        </w:r>
      </w:hyperlink>
      <w:r w:rsidRPr="008C6628">
        <w:rPr>
          <w:rFonts w:ascii="Calibri" w:hAnsi="Calibri" w:cs="Calibri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торговли в киосках мороженым и безалкогольными напитками в розлив;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приема от населения стеклопосуды и утильсырья, за исключением металлолома;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</w:t>
      </w:r>
      <w:hyperlink r:id="rId13" w:history="1">
        <w:r w:rsidRPr="008C6628">
          <w:rPr>
            <w:rFonts w:ascii="Calibri" w:hAnsi="Calibri" w:cs="Calibri"/>
          </w:rPr>
          <w:t>порядке</w:t>
        </w:r>
      </w:hyperlink>
      <w:r w:rsidRPr="008C6628">
        <w:rPr>
          <w:rFonts w:ascii="Calibri" w:hAnsi="Calibri" w:cs="Calibri"/>
        </w:rPr>
        <w:t>, установленном законодательством Российской Федерации;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 w:rsidRPr="008C6628">
        <w:rPr>
          <w:rFonts w:ascii="Calibri" w:hAnsi="Calibri" w:cs="Calibri"/>
        </w:rP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  <w:proofErr w:type="gramEnd"/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 w:rsidRPr="008C6628">
        <w:rPr>
          <w:rFonts w:ascii="Calibri" w:hAnsi="Calibri" w:cs="Calibri"/>
        </w:rPr>
        <w:t xml:space="preserve">Аптечные организации, находящиеся в фельдшерских и фельдшерско-акушерских пунктах, расположенных в сельских поселениях, и обособленные подразделения медицинских организаций, имеющих </w:t>
      </w:r>
      <w:hyperlink r:id="rId14" w:history="1">
        <w:r w:rsidRPr="008C6628">
          <w:rPr>
            <w:rFonts w:ascii="Calibri" w:hAnsi="Calibri" w:cs="Calibri"/>
          </w:rPr>
          <w:t>лицензию</w:t>
        </w:r>
      </w:hyperlink>
      <w:r w:rsidRPr="008C6628">
        <w:rPr>
          <w:rFonts w:ascii="Calibri" w:hAnsi="Calibri" w:cs="Calibri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поселениях,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 без применения</w:t>
      </w:r>
      <w:proofErr w:type="gramEnd"/>
      <w:r w:rsidRPr="008C6628">
        <w:rPr>
          <w:rFonts w:ascii="Calibri" w:hAnsi="Calibri" w:cs="Calibri"/>
        </w:rPr>
        <w:t xml:space="preserve"> контрольно-кассовой техники.</w:t>
      </w:r>
    </w:p>
    <w:p w:rsidR="008C6628" w:rsidRPr="008C6628" w:rsidRDefault="008C66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8C6628">
        <w:rPr>
          <w:rFonts w:ascii="Calibri" w:hAnsi="Calibri" w:cs="Calibri"/>
        </w:rPr>
        <w:t xml:space="preserve">4. Положения </w:t>
      </w:r>
      <w:hyperlink r:id="rId15" w:history="1">
        <w:r w:rsidRPr="008C6628">
          <w:rPr>
            <w:rFonts w:ascii="Calibri" w:hAnsi="Calibri" w:cs="Calibri"/>
          </w:rPr>
          <w:t>пунктов 2</w:t>
        </w:r>
      </w:hyperlink>
      <w:r w:rsidRPr="008C6628">
        <w:rPr>
          <w:rFonts w:ascii="Calibri" w:hAnsi="Calibri" w:cs="Calibri"/>
        </w:rPr>
        <w:t xml:space="preserve">, </w:t>
      </w:r>
      <w:hyperlink r:id="rId16" w:history="1">
        <w:r w:rsidRPr="008C6628">
          <w:rPr>
            <w:rFonts w:ascii="Calibri" w:hAnsi="Calibri" w:cs="Calibri"/>
          </w:rPr>
          <w:t>2.1</w:t>
        </w:r>
      </w:hyperlink>
      <w:r w:rsidRPr="008C6628">
        <w:rPr>
          <w:rFonts w:ascii="Calibri" w:hAnsi="Calibri" w:cs="Calibri"/>
        </w:rPr>
        <w:t xml:space="preserve"> и </w:t>
      </w:r>
      <w:hyperlink r:id="rId17" w:history="1">
        <w:r w:rsidRPr="008C6628">
          <w:rPr>
            <w:rFonts w:ascii="Calibri" w:hAnsi="Calibri" w:cs="Calibri"/>
          </w:rPr>
          <w:t>3</w:t>
        </w:r>
      </w:hyperlink>
      <w:r w:rsidRPr="008C6628">
        <w:rPr>
          <w:rFonts w:ascii="Calibri" w:hAnsi="Calibri" w:cs="Calibri"/>
        </w:rP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000000" w:rsidRPr="008C6628" w:rsidRDefault="00D605A0"/>
    <w:sectPr w:rsidR="00000000" w:rsidRPr="008C6628" w:rsidSect="00D5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6628"/>
    <w:rsid w:val="008C6628"/>
    <w:rsid w:val="00D605A0"/>
    <w:rsid w:val="00DA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413;fld=134;dst=100043" TargetMode="External"/><Relationship Id="rId13" Type="http://schemas.openxmlformats.org/officeDocument/2006/relationships/hyperlink" Target="consultantplus://offline/main?base=LAW;n=115879;fld=134;dst=10009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5413;fld=134;dst=100015" TargetMode="External"/><Relationship Id="rId12" Type="http://schemas.openxmlformats.org/officeDocument/2006/relationships/hyperlink" Target="consultantplus://offline/main?base=LAW;n=121597;fld=134;dst=100009" TargetMode="External"/><Relationship Id="rId17" Type="http://schemas.openxmlformats.org/officeDocument/2006/relationships/hyperlink" Target="consultantplus://offline/main?base=LAW;n=115645;fld=134;dst=10002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645;fld=134;dst=10008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5413;fld=134;dst=100015" TargetMode="External"/><Relationship Id="rId11" Type="http://schemas.openxmlformats.org/officeDocument/2006/relationships/hyperlink" Target="consultantplus://offline/main?base=LAW;n=121869;fld=134;dst=1607" TargetMode="External"/><Relationship Id="rId5" Type="http://schemas.openxmlformats.org/officeDocument/2006/relationships/hyperlink" Target="consultantplus://offline/main?base=LAW;n=114684;fld=134;dst=100053" TargetMode="External"/><Relationship Id="rId15" Type="http://schemas.openxmlformats.org/officeDocument/2006/relationships/hyperlink" Target="consultantplus://offline/main?base=LAW;n=115645;fld=134;dst=100019" TargetMode="External"/><Relationship Id="rId10" Type="http://schemas.openxmlformats.org/officeDocument/2006/relationships/hyperlink" Target="consultantplus://offline/main?base=LAW;n=115645;fld=134;dst=100021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23912;fld=134" TargetMode="External"/><Relationship Id="rId9" Type="http://schemas.openxmlformats.org/officeDocument/2006/relationships/hyperlink" Target="consultantplus://offline/main?base=LAW;n=115645;fld=134;dst=100019" TargetMode="External"/><Relationship Id="rId14" Type="http://schemas.openxmlformats.org/officeDocument/2006/relationships/hyperlink" Target="consultantplus://offline/main?base=LAW;n=11786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2012-04-06T13:20:00Z</dcterms:created>
  <dcterms:modified xsi:type="dcterms:W3CDTF">2012-04-06T13:52:00Z</dcterms:modified>
</cp:coreProperties>
</file>